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E59" w:rsidRPr="00E378A1" w:rsidRDefault="00806E59" w:rsidP="00806E59">
      <w:pPr>
        <w:spacing w:after="0" w:line="480" w:lineRule="auto"/>
        <w:jc w:val="center"/>
        <w:rPr>
          <w:rFonts w:ascii="Times New Roman" w:hAnsi="Times New Roman"/>
          <w:sz w:val="24"/>
          <w:szCs w:val="24"/>
          <w:lang w:val="en-US"/>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bookmarkStart w:id="0" w:name="_GoBack"/>
      <w:bookmarkEnd w:id="0"/>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A8534B" w:rsidP="00A8534B">
      <w:pPr>
        <w:spacing w:after="0" w:line="480" w:lineRule="auto"/>
        <w:jc w:val="center"/>
        <w:rPr>
          <w:rFonts w:ascii="Times New Roman" w:hAnsi="Times New Roman"/>
          <w:sz w:val="24"/>
          <w:szCs w:val="24"/>
        </w:rPr>
      </w:pPr>
      <w:r w:rsidRPr="00A8534B">
        <w:rPr>
          <w:rFonts w:ascii="Times New Roman" w:hAnsi="Times New Roman"/>
          <w:sz w:val="24"/>
          <w:szCs w:val="24"/>
        </w:rPr>
        <w:t>Concept</w:t>
      </w:r>
      <w:r>
        <w:rPr>
          <w:rFonts w:ascii="Times New Roman" w:hAnsi="Times New Roman"/>
          <w:sz w:val="24"/>
          <w:szCs w:val="24"/>
        </w:rPr>
        <w:t xml:space="preserve"> </w:t>
      </w:r>
      <w:r w:rsidRPr="00A8534B">
        <w:rPr>
          <w:rFonts w:ascii="Times New Roman" w:hAnsi="Times New Roman"/>
          <w:sz w:val="24"/>
          <w:szCs w:val="24"/>
        </w:rPr>
        <w:t>Map 2</w:t>
      </w:r>
    </w:p>
    <w:p w:rsidR="00806E59" w:rsidRPr="000D27D2" w:rsidRDefault="00806E59" w:rsidP="00806E59">
      <w:pPr>
        <w:spacing w:after="0" w:line="480" w:lineRule="auto"/>
        <w:jc w:val="center"/>
        <w:rPr>
          <w:rFonts w:ascii="Times New Roman" w:hAnsi="Times New Roman"/>
          <w:sz w:val="24"/>
          <w:szCs w:val="24"/>
        </w:rPr>
      </w:pPr>
      <w:r w:rsidRPr="000D27D2">
        <w:rPr>
          <w:rFonts w:ascii="Times New Roman" w:hAnsi="Times New Roman"/>
          <w:sz w:val="24"/>
          <w:szCs w:val="24"/>
        </w:rPr>
        <w:t>Name:</w:t>
      </w:r>
    </w:p>
    <w:p w:rsidR="00806E59" w:rsidRPr="000D27D2" w:rsidRDefault="00806E59" w:rsidP="00806E59">
      <w:pPr>
        <w:spacing w:after="0" w:line="480" w:lineRule="auto"/>
        <w:jc w:val="center"/>
        <w:rPr>
          <w:rFonts w:ascii="Times New Roman" w:hAnsi="Times New Roman"/>
          <w:sz w:val="24"/>
          <w:szCs w:val="24"/>
        </w:rPr>
      </w:pPr>
      <w:r w:rsidRPr="000D27D2">
        <w:rPr>
          <w:rFonts w:ascii="Times New Roman" w:hAnsi="Times New Roman"/>
          <w:sz w:val="24"/>
          <w:szCs w:val="24"/>
        </w:rPr>
        <w:t>Institution:</w:t>
      </w: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A8534B" w:rsidP="00806E59">
      <w:pPr>
        <w:spacing w:after="0" w:line="480" w:lineRule="auto"/>
        <w:jc w:val="center"/>
        <w:rPr>
          <w:rFonts w:ascii="Times New Roman" w:hAnsi="Times New Roman"/>
          <w:sz w:val="24"/>
          <w:szCs w:val="24"/>
        </w:rPr>
      </w:pPr>
      <w:r w:rsidRPr="00A8534B">
        <w:rPr>
          <w:rFonts w:ascii="Times New Roman" w:hAnsi="Times New Roman"/>
          <w:sz w:val="24"/>
          <w:szCs w:val="24"/>
        </w:rPr>
        <w:lastRenderedPageBreak/>
        <w:t>Concept</w:t>
      </w:r>
      <w:r>
        <w:rPr>
          <w:rFonts w:ascii="Times New Roman" w:hAnsi="Times New Roman"/>
          <w:sz w:val="24"/>
          <w:szCs w:val="24"/>
        </w:rPr>
        <w:t xml:space="preserve"> </w:t>
      </w:r>
      <w:r w:rsidRPr="00A8534B">
        <w:rPr>
          <w:rFonts w:ascii="Times New Roman" w:hAnsi="Times New Roman"/>
          <w:sz w:val="24"/>
          <w:szCs w:val="24"/>
        </w:rPr>
        <w:t>Map 2</w:t>
      </w:r>
    </w:p>
    <w:p w:rsidR="00F60E2C" w:rsidRDefault="00806E59" w:rsidP="00806E59">
      <w:pPr>
        <w:spacing w:after="0" w:line="480" w:lineRule="auto"/>
        <w:rPr>
          <w:rFonts w:ascii="Times New Roman" w:eastAsia="MS Mincho" w:hAnsi="Times New Roman"/>
          <w:b/>
          <w:sz w:val="24"/>
          <w:szCs w:val="24"/>
          <w:lang w:val="en-US"/>
        </w:rPr>
      </w:pPr>
      <w:r w:rsidRPr="006F7D4A">
        <w:rPr>
          <w:rFonts w:ascii="Times New Roman" w:eastAsia="MS Mincho" w:hAnsi="Times New Roman"/>
          <w:b/>
          <w:sz w:val="24"/>
          <w:szCs w:val="24"/>
          <w:lang w:val="en-US"/>
        </w:rPr>
        <w:t>Patient Information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Name: H.O</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Age: 79</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Gender: Male</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Code Status: Full</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DPOA: No</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Living Will: Wife (St. Vincent Medical Centre, 2018)</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Vital Signs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BP: 170s</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P: 88</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Resp: 18</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Temp: afebrile (St. Vincent Medical Centre, 2018)</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Chief Complaint</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Since the last visit at the facility, which occurred in the office on 11/5, the patient has experienced nausea and vomiting, coupled with an inability to eat (St. Vincent Medical Centre, 2018).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Admitting Diagnosis</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According to the previous assessment, the admitting diagnosis for the patient is from the laboratory x-ray examination. The examination indicates that the patient has a complex mass in addition to the gallbladder fossa hat involves his gallbladder (St. Vincent Medical Centre, 2018). Additional indications include distention of the gallbladder and the stomach.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Detailed examination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Neurological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lastRenderedPageBreak/>
        <w:t xml:space="preserve">At the time of the examination, the patient is awake and alert, in addition to being responsive. Additional parameters of measurement include his speech, which is fluent. Further, the cranial nerves show that they are grossly intact from 2 through to 12. His grip is strong, with sufficient bilateral consideration and no rigidity (St. Vincent Medical Centre, 2018). The grip does not have tremors or dysmetria, and his gait is within the reasonable limits for an individual of his age.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Cardiovascular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shows a heart rhythm that is devoid of any murmurs. Additional considerations include the premature beats.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Respiratory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lungs are bilaterally clear. The head is normal in the aspects of shape and contour, while the clear with the sclerae also showing clarity. The mouth, throat along with the pharynx is all clear, in addition to clarity within the midline mucosa. His voice is also strong.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neck does not show indications of adenopathy or thyromegaly (St. Vincent Medical Centre, 2018). There are also no signs of bruising or vein distention in the neck region.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GI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patient’s abdomen is soft in addition to being non-tender. The bowel sounds are also present, in addition to the liver and spleen being non-palpable. Additionally, the abdomen does not have any masses or bruits.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Nutrition/Hydration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is a well-developed and well-nourished man. He does not show any signs of anorexia or nausea.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GU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lastRenderedPageBreak/>
        <w:t xml:space="preserve">The GU features show the normal external of a male individual. The extremities are warm with no signs of edema, deformations or varicosities. The upper and lower distal extremities both show 2+ pulse (St. Vincent Medical Centre, 2018).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Rest/ Exercise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is a 79-year-old man who has no chronic problems. His exercise routines include a three-mile walk on a daily basis with no symptoms of exertion. He does a great deal of walking with no signs of dyspnea (St. Vincent Medical Centre, 2018).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Integumentary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denies any problems with chest pain, as well as shortness of breath.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Endocrine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His endocrine system is normal with no thyroid disease.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Psychosocial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is an active member of his family taking various occasions with his wife in addition to visiting family members.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Misc. (Ht/Wt)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diagnosis indicates a mass in the gallbladder fossa. The means of management include admission with medications for pain along with nausea (McKnight &amp; Patel, 2018). The intervention process may include surgical measures following the early diagnosis.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Erickson’s Developmental Stage Related to patient</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At 79 years, the patient is experiencing the features exhibited within the eighth stage of Erickson’s Developmental model. The indications of the eighth stage in the Erickson’s Developmental model is that the focus of the patient at this point is in the creation and nurturing of factors that will outlive the patient (Levy Murakata &amp; Rohrmann, 2001). As such, the focus of the patient is in establishing family relationships and ensuring a strong bond with his wife. From the medical and personal history of the patient, it is evident that he </w:t>
      </w:r>
      <w:r w:rsidRPr="009112FB">
        <w:rPr>
          <w:rFonts w:ascii="Times New Roman" w:eastAsia="MS Mincho" w:hAnsi="Times New Roman"/>
          <w:sz w:val="24"/>
          <w:szCs w:val="24"/>
          <w:lang w:val="en-US"/>
        </w:rPr>
        <w:lastRenderedPageBreak/>
        <w:t xml:space="preserve">has been taking several occasions with his wife. The vacations include visits to different places in addition to seeing family and friends. The patient is focused to his passions to the extent that the first episode that occurred on one of his trips did not receive sufficient attention from the health care personnel. Instead, he was given pain medication in addition to medications for nausea, when the underlying problem was grave and in need of adequate medical assistance. The patient is on all account in good physical and psychological health, with various achievements that contribute to his satisfaction at this point in his life.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History of Present Illness (HPI), Pathophysiology, Surgical, Social History</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Medical History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medical history shows that the first indication of the underlying condition that is causing the present distress occurred during a vacation. It was two weeks before the date of the diagnosis, during a holiday in Ireland where he was visiting family. The patient lost his footing when coming down the stairs to have some tea as two in the afternoon. The loss of footing resulted in his stumbling with the outcome of him hitting his right lateral chest against the wall of a cabinet causing some pain (St. Vincent Medical Centre, 2018). The intervention at this point was a hospital visit in which the doctor prescribed medications for nausea, in addition to pain medication. The patient denied any chest or abdominal discomfort from the injuries as well as the subsequent events that included him and his wife taking plenty of walks during their vacation.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Pathophysiology</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Gallbladder pathophysiology is a common occurrence for patients presenting with acute or chronic pain in the right upper quadrant (Levy Murakata &amp; Rohrmann, 2001). The masses in the gallbladder are common for imagery visualization. The critical consideration in the diagnosis process is the distinction between benign and malignant conditions that the masses present to the outcomes of treatment and diagnosis.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lastRenderedPageBreak/>
        <w:t>Social History</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is a 79-year-old man who lives with his wife and takes several vacations to visit family and friends.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Surgical History</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has no record of previous surgical histories.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Patient Education and Discharge Planning</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1799"/>
        <w:gridCol w:w="2249"/>
        <w:gridCol w:w="4319"/>
      </w:tblGrid>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b/>
                <w:sz w:val="24"/>
                <w:szCs w:val="24"/>
                <w:lang w:val="en-US"/>
              </w:rPr>
            </w:pPr>
            <w:r w:rsidRPr="00583A72">
              <w:rPr>
                <w:rFonts w:ascii="Times New Roman" w:hAnsi="Times New Roman"/>
                <w:b/>
                <w:sz w:val="24"/>
                <w:szCs w:val="24"/>
                <w:lang w:val="en-US"/>
              </w:rPr>
              <w:t>Test</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b/>
                <w:sz w:val="24"/>
                <w:szCs w:val="24"/>
                <w:lang w:val="en-US"/>
              </w:rPr>
            </w:pPr>
            <w:r w:rsidRPr="00583A72">
              <w:rPr>
                <w:rFonts w:ascii="Times New Roman" w:hAnsi="Times New Roman"/>
                <w:b/>
                <w:sz w:val="24"/>
                <w:szCs w:val="24"/>
                <w:lang w:val="en-US"/>
              </w:rPr>
              <w:t>Norms</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b/>
                <w:sz w:val="24"/>
                <w:szCs w:val="24"/>
                <w:lang w:val="en-US"/>
              </w:rPr>
            </w:pPr>
            <w:r w:rsidRPr="00583A72">
              <w:rPr>
                <w:rFonts w:ascii="Times New Roman" w:hAnsi="Times New Roman"/>
                <w:b/>
                <w:sz w:val="24"/>
                <w:szCs w:val="24"/>
                <w:lang w:val="en-US"/>
              </w:rPr>
              <w:t>Current Value</w:t>
            </w:r>
          </w:p>
        </w:tc>
        <w:tc>
          <w:tcPr>
            <w:tcW w:w="4319" w:type="dxa"/>
            <w:tcBorders>
              <w:top w:val="single" w:sz="4" w:space="0" w:color="auto"/>
              <w:left w:val="single" w:sz="4" w:space="0" w:color="auto"/>
              <w:bottom w:val="single" w:sz="4" w:space="0" w:color="auto"/>
              <w:right w:val="single" w:sz="4" w:space="0" w:color="auto"/>
            </w:tcBorders>
          </w:tcPr>
          <w:p w:rsidR="00583A72" w:rsidRPr="00583A72" w:rsidRDefault="00583A72" w:rsidP="00583A72">
            <w:pPr>
              <w:spacing w:after="0" w:line="480" w:lineRule="auto"/>
              <w:rPr>
                <w:rFonts w:ascii="Times New Roman" w:hAnsi="Times New Roman"/>
                <w:b/>
                <w:sz w:val="24"/>
                <w:szCs w:val="24"/>
                <w:lang w:val="en-US"/>
              </w:rPr>
            </w:pPr>
            <w:r w:rsidRPr="00583A72">
              <w:rPr>
                <w:rFonts w:ascii="Times New Roman" w:hAnsi="Times New Roman"/>
                <w:b/>
                <w:sz w:val="24"/>
                <w:szCs w:val="24"/>
                <w:lang w:val="en-US"/>
              </w:rPr>
              <w:t>Why the test was necessary</w:t>
            </w:r>
          </w:p>
          <w:p w:rsidR="00583A72" w:rsidRPr="00583A72" w:rsidRDefault="00583A72" w:rsidP="00583A72">
            <w:pPr>
              <w:spacing w:after="0" w:line="480" w:lineRule="auto"/>
              <w:rPr>
                <w:rFonts w:ascii="Times New Roman" w:hAnsi="Times New Roman"/>
                <w:b/>
                <w:sz w:val="24"/>
                <w:szCs w:val="24"/>
                <w:lang w:val="en-US"/>
              </w:rPr>
            </w:pP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WBC</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3.5-10.5</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9.28</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The measure of the WBC in the body determines the level of infection in the body in addition to the capacity of the body to ward off the infection</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tcPr>
          <w:p w:rsidR="00583A72" w:rsidRPr="00583A72" w:rsidRDefault="00583A72" w:rsidP="00856899">
            <w:pPr>
              <w:spacing w:after="0" w:line="480" w:lineRule="auto"/>
              <w:rPr>
                <w:rFonts w:ascii="Times New Roman" w:hAnsi="Times New Roman"/>
                <w:sz w:val="24"/>
                <w:szCs w:val="24"/>
                <w:lang w:val="en-US"/>
              </w:rPr>
            </w:pPr>
            <w:r>
              <w:rPr>
                <w:rFonts w:ascii="Times New Roman" w:hAnsi="Times New Roman"/>
                <w:sz w:val="24"/>
                <w:szCs w:val="24"/>
                <w:lang w:val="en-US"/>
              </w:rPr>
              <w:t>RBC</w:t>
            </w:r>
          </w:p>
        </w:tc>
        <w:tc>
          <w:tcPr>
            <w:tcW w:w="1799" w:type="dxa"/>
            <w:tcBorders>
              <w:top w:val="single" w:sz="4" w:space="0" w:color="auto"/>
              <w:left w:val="single" w:sz="4" w:space="0" w:color="auto"/>
              <w:bottom w:val="single" w:sz="4" w:space="0" w:color="auto"/>
              <w:right w:val="single" w:sz="4" w:space="0" w:color="auto"/>
            </w:tcBorders>
          </w:tcPr>
          <w:p w:rsidR="00583A72" w:rsidRPr="00583A72" w:rsidRDefault="00583A72" w:rsidP="00856899">
            <w:pPr>
              <w:spacing w:after="0" w:line="480" w:lineRule="auto"/>
              <w:rPr>
                <w:rFonts w:ascii="Times New Roman" w:hAnsi="Times New Roman"/>
                <w:sz w:val="24"/>
                <w:szCs w:val="24"/>
                <w:lang w:val="en-US"/>
              </w:rPr>
            </w:pPr>
            <w:r>
              <w:rPr>
                <w:rFonts w:ascii="Times New Roman" w:hAnsi="Times New Roman"/>
                <w:sz w:val="24"/>
                <w:szCs w:val="24"/>
                <w:lang w:val="en-US"/>
              </w:rPr>
              <w:t>4.32-5.72</w:t>
            </w:r>
          </w:p>
        </w:tc>
        <w:tc>
          <w:tcPr>
            <w:tcW w:w="2249" w:type="dxa"/>
            <w:tcBorders>
              <w:top w:val="single" w:sz="4" w:space="0" w:color="auto"/>
              <w:left w:val="single" w:sz="4" w:space="0" w:color="auto"/>
              <w:bottom w:val="single" w:sz="4" w:space="0" w:color="auto"/>
              <w:right w:val="single" w:sz="4" w:space="0" w:color="auto"/>
            </w:tcBorders>
          </w:tcPr>
          <w:p w:rsidR="00583A72" w:rsidRPr="00583A72" w:rsidRDefault="00583A72" w:rsidP="00856899">
            <w:pPr>
              <w:spacing w:after="0" w:line="480" w:lineRule="auto"/>
              <w:rPr>
                <w:rFonts w:ascii="Times New Roman" w:hAnsi="Times New Roman"/>
                <w:sz w:val="24"/>
                <w:szCs w:val="24"/>
                <w:lang w:val="en-US"/>
              </w:rPr>
            </w:pPr>
            <w:r>
              <w:rPr>
                <w:rFonts w:ascii="Times New Roman" w:hAnsi="Times New Roman"/>
                <w:sz w:val="24"/>
                <w:szCs w:val="24"/>
                <w:lang w:val="en-US"/>
              </w:rPr>
              <w:t>3.10</w:t>
            </w:r>
          </w:p>
        </w:tc>
        <w:tc>
          <w:tcPr>
            <w:tcW w:w="4319" w:type="dxa"/>
            <w:tcBorders>
              <w:top w:val="single" w:sz="4" w:space="0" w:color="auto"/>
              <w:left w:val="single" w:sz="4" w:space="0" w:color="auto"/>
              <w:bottom w:val="single" w:sz="4" w:space="0" w:color="auto"/>
              <w:right w:val="single" w:sz="4" w:space="0" w:color="auto"/>
            </w:tcBorders>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purpose of RBC in the blood is to maintain the oxygen and </w:t>
            </w:r>
            <w:r w:rsidR="002A7692">
              <w:rPr>
                <w:rFonts w:ascii="Times New Roman" w:hAnsi="Times New Roman"/>
                <w:sz w:val="24"/>
                <w:szCs w:val="24"/>
                <w:lang w:val="en-US"/>
              </w:rPr>
              <w:t>carbon dioxide</w:t>
            </w:r>
            <w:r>
              <w:rPr>
                <w:rFonts w:ascii="Times New Roman" w:hAnsi="Times New Roman"/>
                <w:sz w:val="24"/>
                <w:szCs w:val="24"/>
                <w:lang w:val="en-US"/>
              </w:rPr>
              <w:t xml:space="preserve"> balance from various metabolic processes. The amount of RBC in circulation is therefore an indication of the oxygen movements and levels within the body.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Hemoglobin</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13.5-17.5</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9.4</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Hemoglobin counts in the body are associated to the level of RBC counts in the body. Ultimately, high </w:t>
            </w:r>
            <w:r w:rsidR="002A7692">
              <w:rPr>
                <w:rFonts w:ascii="Times New Roman" w:hAnsi="Times New Roman"/>
                <w:sz w:val="24"/>
                <w:szCs w:val="24"/>
                <w:lang w:val="en-US"/>
              </w:rPr>
              <w:t>hemoglobin</w:t>
            </w:r>
            <w:r>
              <w:rPr>
                <w:rFonts w:ascii="Times New Roman" w:hAnsi="Times New Roman"/>
                <w:sz w:val="24"/>
                <w:szCs w:val="24"/>
                <w:lang w:val="en-US"/>
              </w:rPr>
              <w:t xml:space="preserve"> counts contribute to the high counts in the levels of RBC in the body.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Hematocrit</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38.8- 50.0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28.9</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focus of the measure is the level of hydration for the patient. The test is </w:t>
            </w:r>
            <w:r>
              <w:rPr>
                <w:rFonts w:ascii="Times New Roman" w:hAnsi="Times New Roman"/>
                <w:sz w:val="24"/>
                <w:szCs w:val="24"/>
                <w:lang w:val="en-US"/>
              </w:rPr>
              <w:lastRenderedPageBreak/>
              <w:t xml:space="preserve">therefore useful in </w:t>
            </w:r>
            <w:r w:rsidR="002A7692">
              <w:rPr>
                <w:rFonts w:ascii="Times New Roman" w:hAnsi="Times New Roman"/>
                <w:sz w:val="24"/>
                <w:szCs w:val="24"/>
                <w:lang w:val="en-US"/>
              </w:rPr>
              <w:t>determining</w:t>
            </w:r>
            <w:r>
              <w:rPr>
                <w:rFonts w:ascii="Times New Roman" w:hAnsi="Times New Roman"/>
                <w:sz w:val="24"/>
                <w:szCs w:val="24"/>
                <w:lang w:val="en-US"/>
              </w:rPr>
              <w:t xml:space="preserve"> the solvents and solutes balance within the body as a factor of </w:t>
            </w:r>
            <w:r w:rsidR="002A7692">
              <w:rPr>
                <w:rFonts w:ascii="Times New Roman" w:hAnsi="Times New Roman"/>
                <w:sz w:val="24"/>
                <w:szCs w:val="24"/>
                <w:lang w:val="en-US"/>
              </w:rPr>
              <w:t>homeostasis</w:t>
            </w:r>
            <w:r>
              <w:rPr>
                <w:rFonts w:ascii="Times New Roman" w:hAnsi="Times New Roman"/>
                <w:sz w:val="24"/>
                <w:szCs w:val="24"/>
                <w:lang w:val="en-US"/>
              </w:rPr>
              <w:t xml:space="preserve"> processes. </w:t>
            </w:r>
            <w:r w:rsidR="00583A72" w:rsidRPr="00583A72">
              <w:rPr>
                <w:rFonts w:ascii="Times New Roman" w:hAnsi="Times New Roman"/>
                <w:sz w:val="24"/>
                <w:szCs w:val="24"/>
                <w:lang w:val="en-US"/>
              </w:rPr>
              <w:t xml:space="preserve">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lastRenderedPageBreak/>
              <w:t>Platelets</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150-450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316</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purpose of </w:t>
            </w:r>
            <w:r w:rsidR="002A7692">
              <w:rPr>
                <w:rFonts w:ascii="Times New Roman" w:hAnsi="Times New Roman"/>
                <w:sz w:val="24"/>
                <w:szCs w:val="24"/>
                <w:lang w:val="en-US"/>
              </w:rPr>
              <w:t>platelets</w:t>
            </w:r>
            <w:r>
              <w:rPr>
                <w:rFonts w:ascii="Times New Roman" w:hAnsi="Times New Roman"/>
                <w:sz w:val="24"/>
                <w:szCs w:val="24"/>
                <w:lang w:val="en-US"/>
              </w:rPr>
              <w:t xml:space="preserve"> in the body is their contribution to the process of blood clotting. </w:t>
            </w:r>
            <w:r w:rsidR="002A7692">
              <w:rPr>
                <w:rFonts w:ascii="Times New Roman" w:hAnsi="Times New Roman"/>
                <w:sz w:val="24"/>
                <w:szCs w:val="24"/>
                <w:lang w:val="en-US"/>
              </w:rPr>
              <w:t xml:space="preserve">The test is therefore important to determine whether the patient has the capacity to recover from a cut or injury which results in the loss of blood.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Neut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50.0 – 70.0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74.2</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test </w:t>
            </w:r>
            <w:r w:rsidR="002A7692">
              <w:rPr>
                <w:rFonts w:ascii="Times New Roman" w:hAnsi="Times New Roman"/>
                <w:sz w:val="24"/>
                <w:szCs w:val="24"/>
                <w:lang w:val="en-US"/>
              </w:rPr>
              <w:t>measures</w:t>
            </w:r>
            <w:r>
              <w:rPr>
                <w:rFonts w:ascii="Times New Roman" w:hAnsi="Times New Roman"/>
                <w:sz w:val="24"/>
                <w:szCs w:val="24"/>
                <w:lang w:val="en-US"/>
              </w:rPr>
              <w:t xml:space="preserve"> the level of bilirubin within the body which contributes to a measure of the levels of jaundice for the </w:t>
            </w:r>
            <w:r w:rsidR="002A7692">
              <w:rPr>
                <w:rFonts w:ascii="Times New Roman" w:hAnsi="Times New Roman"/>
                <w:sz w:val="24"/>
                <w:szCs w:val="24"/>
                <w:lang w:val="en-US"/>
              </w:rPr>
              <w:t>patient</w:t>
            </w:r>
            <w:r>
              <w:rPr>
                <w:rFonts w:ascii="Times New Roman" w:hAnsi="Times New Roman"/>
                <w:sz w:val="24"/>
                <w:szCs w:val="24"/>
                <w:lang w:val="en-US"/>
              </w:rPr>
              <w:t xml:space="preserve"> in case they exist.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Lymp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20.0 – 40.0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15.7</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3934BD">
            <w:pPr>
              <w:spacing w:after="0" w:line="480" w:lineRule="auto"/>
              <w:rPr>
                <w:rFonts w:ascii="Times New Roman" w:hAnsi="Times New Roman"/>
                <w:sz w:val="24"/>
                <w:szCs w:val="24"/>
                <w:lang w:val="en-US"/>
              </w:rPr>
            </w:pPr>
            <w:r>
              <w:rPr>
                <w:rFonts w:ascii="Times New Roman" w:hAnsi="Times New Roman"/>
                <w:sz w:val="24"/>
                <w:szCs w:val="24"/>
                <w:lang w:val="en-US"/>
              </w:rPr>
              <w:t xml:space="preserve">The focus of the test is on the analysis of the balance between the bodily </w:t>
            </w:r>
            <w:r w:rsidR="002A7692">
              <w:rPr>
                <w:rFonts w:ascii="Times New Roman" w:hAnsi="Times New Roman"/>
                <w:sz w:val="24"/>
                <w:szCs w:val="24"/>
                <w:lang w:val="en-US"/>
              </w:rPr>
              <w:t>fluids</w:t>
            </w:r>
            <w:r>
              <w:rPr>
                <w:rFonts w:ascii="Times New Roman" w:hAnsi="Times New Roman"/>
                <w:sz w:val="24"/>
                <w:szCs w:val="24"/>
                <w:lang w:val="en-US"/>
              </w:rPr>
              <w:t xml:space="preserve"> in the body. The </w:t>
            </w:r>
            <w:r w:rsidR="002A7692">
              <w:rPr>
                <w:rFonts w:ascii="Times New Roman" w:hAnsi="Times New Roman"/>
                <w:sz w:val="24"/>
                <w:szCs w:val="24"/>
                <w:lang w:val="en-US"/>
              </w:rPr>
              <w:t>outcomes of the test determine</w:t>
            </w:r>
            <w:r>
              <w:rPr>
                <w:rFonts w:ascii="Times New Roman" w:hAnsi="Times New Roman"/>
                <w:sz w:val="24"/>
                <w:szCs w:val="24"/>
                <w:lang w:val="en-US"/>
              </w:rPr>
              <w:t xml:space="preserve"> the level of fluid balance for the patient.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Mono(%)</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0.0 – 13.0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6.4</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Acid base and water concentrations form the basis for this test. The balance of these </w:t>
            </w:r>
            <w:r w:rsidR="002A7692">
              <w:rPr>
                <w:rFonts w:ascii="Times New Roman" w:hAnsi="Times New Roman"/>
                <w:sz w:val="24"/>
                <w:szCs w:val="24"/>
                <w:lang w:val="en-US"/>
              </w:rPr>
              <w:t>components</w:t>
            </w:r>
            <w:r>
              <w:rPr>
                <w:rFonts w:ascii="Times New Roman" w:hAnsi="Times New Roman"/>
                <w:sz w:val="24"/>
                <w:szCs w:val="24"/>
                <w:lang w:val="en-US"/>
              </w:rPr>
              <w:t xml:space="preserve"> </w:t>
            </w:r>
            <w:r w:rsidR="002A7692">
              <w:rPr>
                <w:rFonts w:ascii="Times New Roman" w:hAnsi="Times New Roman"/>
                <w:sz w:val="24"/>
                <w:szCs w:val="24"/>
                <w:lang w:val="en-US"/>
              </w:rPr>
              <w:t>ensure</w:t>
            </w:r>
            <w:r>
              <w:rPr>
                <w:rFonts w:ascii="Times New Roman" w:hAnsi="Times New Roman"/>
                <w:sz w:val="24"/>
                <w:szCs w:val="24"/>
                <w:lang w:val="en-US"/>
              </w:rPr>
              <w:t xml:space="preserve"> smooth processes within the body, thus the relevance of the test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Eos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0.0 – 5.0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3.5</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focus of the test is the measure of the strength of the </w:t>
            </w:r>
            <w:r w:rsidR="002A7692">
              <w:rPr>
                <w:rFonts w:ascii="Times New Roman" w:hAnsi="Times New Roman"/>
                <w:sz w:val="24"/>
                <w:szCs w:val="24"/>
                <w:lang w:val="en-US"/>
              </w:rPr>
              <w:t>patient’s</w:t>
            </w:r>
            <w:r>
              <w:rPr>
                <w:rFonts w:ascii="Times New Roman" w:hAnsi="Times New Roman"/>
                <w:sz w:val="24"/>
                <w:szCs w:val="24"/>
                <w:lang w:val="en-US"/>
              </w:rPr>
              <w:t xml:space="preserve"> bones, </w:t>
            </w:r>
            <w:r w:rsidR="002A7692">
              <w:rPr>
                <w:rFonts w:ascii="Times New Roman" w:hAnsi="Times New Roman"/>
                <w:sz w:val="24"/>
                <w:szCs w:val="24"/>
                <w:lang w:val="en-US"/>
              </w:rPr>
              <w:t>in</w:t>
            </w:r>
            <w:r>
              <w:rPr>
                <w:rFonts w:ascii="Times New Roman" w:hAnsi="Times New Roman"/>
                <w:sz w:val="24"/>
                <w:szCs w:val="24"/>
                <w:lang w:val="en-US"/>
              </w:rPr>
              <w:t xml:space="preserve"> addition </w:t>
            </w:r>
            <w:r>
              <w:rPr>
                <w:rFonts w:ascii="Times New Roman" w:hAnsi="Times New Roman"/>
                <w:sz w:val="24"/>
                <w:szCs w:val="24"/>
                <w:lang w:val="en-US"/>
              </w:rPr>
              <w:lastRenderedPageBreak/>
              <w:t xml:space="preserve">to an analysis of the level of nerve transmission within the body.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lastRenderedPageBreak/>
              <w:t>Baso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0.0 – 2.0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0.2</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2A7692"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measure in the test determined the functionality of the kidneys.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 xml:space="preserve">Creatinine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0.55 – 1.30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0.59</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2A7692"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byproducts excreted from the kidney form a measure of the status of the kidney. The purpose of the test is thus to measure to excretion components to determine the renal health for the patient.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Total protein</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6.2- 8.2</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5.1</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2A7692"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test measures the different components of excretion to determine the health status of the patient’s excretory system in addition to the removal of unnecessary components from the body.  </w:t>
            </w:r>
          </w:p>
        </w:tc>
      </w:tr>
    </w:tbl>
    <w:p w:rsidR="00583A72" w:rsidRDefault="00583A72" w:rsidP="009112FB">
      <w:pPr>
        <w:spacing w:after="0" w:line="480" w:lineRule="auto"/>
        <w:rPr>
          <w:rFonts w:ascii="Times New Roman" w:eastAsia="MS Mincho" w:hAnsi="Times New Roman"/>
          <w:b/>
          <w:sz w:val="24"/>
          <w:szCs w:val="24"/>
          <w:lang w:val="en-US"/>
        </w:rPr>
      </w:pP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Education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Patient education involved a clarification on the treatment procedures that include surgical intervention. The patient and his family were provided with clarification on the means of managing pains and nausea, with the eventual requirement for surgical processes so that the patient could resume his previous lifestyle.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Discharge Planning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did not receive any target date for discharge because he had to await further analysis to determine the surgical requirements in the intervention.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Interventions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Pain management</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lastRenderedPageBreak/>
        <w:t>Managing nausea</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A surgical procedure to remove the masses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Assessment</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Further imaging studies are necessary to determine the nature of the masses in the gallbladder. The possible outcomes include malignancy of the masses or their benign status.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Potential Complications/ at risk for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There are no related risks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Outcomes/Goal</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periods of vomiting and nausea will reduce as an outcome for the patient (McKnight &amp; Patel, 2018).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Interventions</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Imaging to determine whether the masses are malignant or benign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Observation of the outcomes of pain medication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Nutritional assessment because of the problem with nausea that causes constant vomiting and inability to nourish the body.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Proposed Medications</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Protonix pantoprazole</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Regian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Labetalol</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Amiodorone</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Heparin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Amlodipine</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Diflucan (McKnight &amp; Patel, 2018)</w:t>
      </w:r>
    </w:p>
    <w:p w:rsidR="009112FB" w:rsidRDefault="009112FB" w:rsidP="00806E59">
      <w:pPr>
        <w:spacing w:after="0" w:line="480" w:lineRule="auto"/>
        <w:jc w:val="center"/>
        <w:rPr>
          <w:rFonts w:ascii="Times New Roman" w:hAnsi="Times New Roman"/>
          <w:sz w:val="24"/>
          <w:szCs w:val="24"/>
        </w:rPr>
      </w:pPr>
    </w:p>
    <w:p w:rsidR="00CF31B2" w:rsidRDefault="00CF31B2"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r w:rsidRPr="000D27D2">
        <w:rPr>
          <w:rFonts w:ascii="Times New Roman" w:hAnsi="Times New Roman"/>
          <w:sz w:val="24"/>
          <w:szCs w:val="24"/>
        </w:rPr>
        <w:lastRenderedPageBreak/>
        <w:t>References</w:t>
      </w:r>
      <w:r>
        <w:rPr>
          <w:rFonts w:ascii="Times New Roman" w:hAnsi="Times New Roman"/>
          <w:sz w:val="24"/>
          <w:szCs w:val="24"/>
        </w:rPr>
        <w:t xml:space="preserve"> </w:t>
      </w:r>
    </w:p>
    <w:p w:rsidR="00806E59" w:rsidRPr="007E446F" w:rsidRDefault="007E446F" w:rsidP="00806E59">
      <w:pPr>
        <w:spacing w:after="0" w:line="480" w:lineRule="auto"/>
        <w:ind w:left="720" w:hanging="720"/>
        <w:rPr>
          <w:rFonts w:ascii="Times New Roman" w:hAnsi="Times New Roman"/>
          <w:bCs/>
          <w:sz w:val="24"/>
          <w:szCs w:val="24"/>
        </w:rPr>
      </w:pPr>
      <w:r w:rsidRPr="007E446F">
        <w:rPr>
          <w:rFonts w:ascii="Times New Roman" w:hAnsi="Times New Roman"/>
          <w:bCs/>
          <w:sz w:val="24"/>
          <w:szCs w:val="24"/>
        </w:rPr>
        <w:t xml:space="preserve">Levy, </w:t>
      </w:r>
      <w:r>
        <w:rPr>
          <w:rFonts w:ascii="Times New Roman" w:hAnsi="Times New Roman"/>
          <w:bCs/>
          <w:sz w:val="24"/>
          <w:szCs w:val="24"/>
        </w:rPr>
        <w:t xml:space="preserve">A. D., </w:t>
      </w:r>
      <w:r w:rsidRPr="007E446F">
        <w:rPr>
          <w:rFonts w:ascii="Times New Roman" w:hAnsi="Times New Roman"/>
          <w:bCs/>
          <w:sz w:val="24"/>
          <w:szCs w:val="24"/>
        </w:rPr>
        <w:t xml:space="preserve">Murakata, </w:t>
      </w:r>
      <w:r>
        <w:rPr>
          <w:rFonts w:ascii="Times New Roman" w:hAnsi="Times New Roman"/>
          <w:bCs/>
          <w:sz w:val="24"/>
          <w:szCs w:val="24"/>
        </w:rPr>
        <w:t xml:space="preserve">L. A. &amp; </w:t>
      </w:r>
      <w:r w:rsidRPr="007E446F">
        <w:rPr>
          <w:rFonts w:ascii="Times New Roman" w:hAnsi="Times New Roman"/>
          <w:bCs/>
          <w:sz w:val="24"/>
          <w:szCs w:val="24"/>
        </w:rPr>
        <w:t>Rohrmann</w:t>
      </w:r>
      <w:r>
        <w:rPr>
          <w:rFonts w:ascii="Times New Roman" w:hAnsi="Times New Roman"/>
          <w:bCs/>
          <w:sz w:val="24"/>
          <w:szCs w:val="24"/>
        </w:rPr>
        <w:t>, C. A.</w:t>
      </w:r>
      <w:r w:rsidR="00806E59" w:rsidRPr="00E77901">
        <w:rPr>
          <w:rFonts w:ascii="Times New Roman" w:hAnsi="Times New Roman"/>
          <w:bCs/>
          <w:sz w:val="24"/>
          <w:szCs w:val="24"/>
        </w:rPr>
        <w:t xml:space="preserve"> (</w:t>
      </w:r>
      <w:r>
        <w:rPr>
          <w:rFonts w:ascii="Times New Roman" w:hAnsi="Times New Roman"/>
          <w:bCs/>
          <w:sz w:val="24"/>
          <w:szCs w:val="24"/>
        </w:rPr>
        <w:t>2001</w:t>
      </w:r>
      <w:r w:rsidR="00806E59" w:rsidRPr="00E77901">
        <w:rPr>
          <w:rFonts w:ascii="Times New Roman" w:hAnsi="Times New Roman"/>
          <w:bCs/>
          <w:sz w:val="24"/>
          <w:szCs w:val="24"/>
        </w:rPr>
        <w:t xml:space="preserve">). </w:t>
      </w:r>
      <w:r w:rsidRPr="007E446F">
        <w:rPr>
          <w:rFonts w:ascii="Times New Roman" w:hAnsi="Times New Roman"/>
          <w:bCs/>
          <w:sz w:val="24"/>
          <w:szCs w:val="24"/>
        </w:rPr>
        <w:t>Gallbladder Carcinoma: Radiologic-Pathologic Correlation</w:t>
      </w:r>
      <w:r w:rsidR="00806E59" w:rsidRPr="00E77901">
        <w:rPr>
          <w:rFonts w:ascii="Times New Roman" w:hAnsi="Times New Roman"/>
          <w:bCs/>
          <w:sz w:val="24"/>
          <w:szCs w:val="24"/>
        </w:rPr>
        <w:t xml:space="preserve">. </w:t>
      </w:r>
      <w:r w:rsidRPr="007E446F">
        <w:rPr>
          <w:rFonts w:ascii="Times New Roman" w:hAnsi="Times New Roman"/>
          <w:bCs/>
          <w:i/>
          <w:sz w:val="24"/>
          <w:szCs w:val="24"/>
        </w:rPr>
        <w:t>RadioGraphics</w:t>
      </w:r>
      <w:r>
        <w:rPr>
          <w:rFonts w:ascii="Times New Roman" w:hAnsi="Times New Roman"/>
          <w:bCs/>
          <w:i/>
          <w:sz w:val="24"/>
          <w:szCs w:val="24"/>
        </w:rPr>
        <w:t xml:space="preserve"> </w:t>
      </w:r>
      <w:r w:rsidRPr="007E446F">
        <w:rPr>
          <w:rFonts w:ascii="Times New Roman" w:hAnsi="Times New Roman"/>
          <w:bCs/>
          <w:sz w:val="24"/>
          <w:szCs w:val="24"/>
        </w:rPr>
        <w:t>Vol. 21, No. 2</w:t>
      </w:r>
    </w:p>
    <w:p w:rsidR="005B1BFF" w:rsidRDefault="007E446F" w:rsidP="005B1BFF">
      <w:pPr>
        <w:spacing w:after="0" w:line="480" w:lineRule="auto"/>
        <w:ind w:left="720" w:hanging="720"/>
        <w:rPr>
          <w:rFonts w:ascii="Times New Roman" w:hAnsi="Times New Roman"/>
          <w:bCs/>
          <w:sz w:val="24"/>
          <w:szCs w:val="24"/>
        </w:rPr>
      </w:pPr>
      <w:r w:rsidRPr="007E446F">
        <w:rPr>
          <w:rFonts w:ascii="Times New Roman" w:hAnsi="Times New Roman"/>
          <w:bCs/>
          <w:sz w:val="24"/>
          <w:szCs w:val="24"/>
        </w:rPr>
        <w:t xml:space="preserve">McKnight, </w:t>
      </w:r>
      <w:r>
        <w:rPr>
          <w:rFonts w:ascii="Times New Roman" w:hAnsi="Times New Roman"/>
          <w:bCs/>
          <w:sz w:val="24"/>
          <w:szCs w:val="24"/>
        </w:rPr>
        <w:t xml:space="preserve">T. &amp; </w:t>
      </w:r>
      <w:r w:rsidRPr="007E446F">
        <w:rPr>
          <w:rFonts w:ascii="Times New Roman" w:hAnsi="Times New Roman"/>
          <w:bCs/>
          <w:sz w:val="24"/>
          <w:szCs w:val="24"/>
        </w:rPr>
        <w:t>Patel</w:t>
      </w:r>
      <w:r>
        <w:rPr>
          <w:rFonts w:ascii="Times New Roman" w:hAnsi="Times New Roman"/>
          <w:bCs/>
          <w:sz w:val="24"/>
          <w:szCs w:val="24"/>
        </w:rPr>
        <w:t>, A.,</w:t>
      </w:r>
      <w:r w:rsidR="005B1BFF" w:rsidRPr="00E77901">
        <w:rPr>
          <w:rFonts w:ascii="Times New Roman" w:hAnsi="Times New Roman"/>
          <w:bCs/>
          <w:sz w:val="24"/>
          <w:szCs w:val="24"/>
        </w:rPr>
        <w:t xml:space="preserve"> (</w:t>
      </w:r>
      <w:r>
        <w:rPr>
          <w:rFonts w:ascii="Times New Roman" w:hAnsi="Times New Roman"/>
          <w:bCs/>
          <w:sz w:val="24"/>
          <w:szCs w:val="24"/>
        </w:rPr>
        <w:t>2018</w:t>
      </w:r>
      <w:r w:rsidR="005B1BFF" w:rsidRPr="00E77901">
        <w:rPr>
          <w:rFonts w:ascii="Times New Roman" w:hAnsi="Times New Roman"/>
          <w:bCs/>
          <w:sz w:val="24"/>
          <w:szCs w:val="24"/>
        </w:rPr>
        <w:t xml:space="preserve">). </w:t>
      </w:r>
      <w:r w:rsidRPr="007E446F">
        <w:rPr>
          <w:rFonts w:ascii="Times New Roman" w:hAnsi="Times New Roman"/>
          <w:bCs/>
          <w:sz w:val="24"/>
          <w:szCs w:val="24"/>
        </w:rPr>
        <w:t>Gallbladder Masses: Multimodality Approach to Differential Diagnosis</w:t>
      </w:r>
      <w:r w:rsidR="005B1BFF" w:rsidRPr="00E77901">
        <w:rPr>
          <w:rFonts w:ascii="Times New Roman" w:hAnsi="Times New Roman"/>
          <w:bCs/>
          <w:sz w:val="24"/>
          <w:szCs w:val="24"/>
        </w:rPr>
        <w:t xml:space="preserve">. </w:t>
      </w:r>
      <w:r w:rsidRPr="007E446F">
        <w:rPr>
          <w:rFonts w:ascii="Times New Roman" w:hAnsi="Times New Roman"/>
          <w:bCs/>
          <w:i/>
          <w:sz w:val="24"/>
          <w:szCs w:val="24"/>
        </w:rPr>
        <w:t>The American College of Osteopathic Radiology 2018</w:t>
      </w:r>
    </w:p>
    <w:p w:rsidR="007E446F" w:rsidRDefault="007E446F" w:rsidP="007E446F">
      <w:pPr>
        <w:spacing w:after="0" w:line="480" w:lineRule="auto"/>
        <w:ind w:left="720" w:hanging="720"/>
        <w:rPr>
          <w:rFonts w:ascii="Times New Roman" w:hAnsi="Times New Roman"/>
          <w:bCs/>
          <w:sz w:val="24"/>
          <w:szCs w:val="24"/>
        </w:rPr>
      </w:pPr>
      <w:r>
        <w:rPr>
          <w:rFonts w:ascii="Times New Roman" w:hAnsi="Times New Roman"/>
          <w:bCs/>
          <w:sz w:val="24"/>
          <w:szCs w:val="24"/>
        </w:rPr>
        <w:t xml:space="preserve">St. Vincent Medical Centre. </w:t>
      </w:r>
      <w:r w:rsidRPr="00E77901">
        <w:rPr>
          <w:rFonts w:ascii="Times New Roman" w:hAnsi="Times New Roman"/>
          <w:bCs/>
          <w:sz w:val="24"/>
          <w:szCs w:val="24"/>
        </w:rPr>
        <w:t xml:space="preserve"> (</w:t>
      </w:r>
      <w:r>
        <w:rPr>
          <w:rFonts w:ascii="Times New Roman" w:hAnsi="Times New Roman"/>
          <w:bCs/>
          <w:sz w:val="24"/>
          <w:szCs w:val="24"/>
        </w:rPr>
        <w:t>2018</w:t>
      </w:r>
      <w:r w:rsidRPr="00E77901">
        <w:rPr>
          <w:rFonts w:ascii="Times New Roman" w:hAnsi="Times New Roman"/>
          <w:bCs/>
          <w:sz w:val="24"/>
          <w:szCs w:val="24"/>
        </w:rPr>
        <w:t xml:space="preserve">). </w:t>
      </w:r>
      <w:r>
        <w:rPr>
          <w:rFonts w:ascii="Times New Roman" w:hAnsi="Times New Roman"/>
          <w:bCs/>
          <w:sz w:val="24"/>
          <w:szCs w:val="24"/>
        </w:rPr>
        <w:t>Patient admission information</w:t>
      </w:r>
      <w:r w:rsidRPr="00E77901">
        <w:rPr>
          <w:rFonts w:ascii="Times New Roman" w:hAnsi="Times New Roman"/>
          <w:bCs/>
          <w:sz w:val="24"/>
          <w:szCs w:val="24"/>
        </w:rPr>
        <w:t xml:space="preserve">. </w:t>
      </w:r>
      <w:r w:rsidRPr="007E446F">
        <w:rPr>
          <w:rFonts w:ascii="Times New Roman" w:hAnsi="Times New Roman"/>
          <w:bCs/>
          <w:i/>
          <w:sz w:val="24"/>
          <w:szCs w:val="24"/>
        </w:rPr>
        <w:t>St. Vincent Medical Centre 2131 West Third Street Los Angeles, CA.</w:t>
      </w:r>
    </w:p>
    <w:p w:rsidR="005B1BFF" w:rsidRDefault="007E446F" w:rsidP="005B1BFF">
      <w:pPr>
        <w:spacing w:after="0" w:line="480" w:lineRule="auto"/>
        <w:ind w:left="720" w:hanging="720"/>
        <w:rPr>
          <w:rFonts w:ascii="Times New Roman" w:hAnsi="Times New Roman"/>
          <w:bCs/>
          <w:sz w:val="24"/>
          <w:szCs w:val="24"/>
        </w:rPr>
      </w:pPr>
      <w:r>
        <w:rPr>
          <w:rFonts w:ascii="Times New Roman" w:hAnsi="Times New Roman"/>
          <w:bCs/>
          <w:sz w:val="24"/>
          <w:szCs w:val="24"/>
        </w:rPr>
        <w:t xml:space="preserve">St. Vincent Medical Centre. </w:t>
      </w:r>
      <w:r w:rsidR="005B1BFF" w:rsidRPr="00E77901">
        <w:rPr>
          <w:rFonts w:ascii="Times New Roman" w:hAnsi="Times New Roman"/>
          <w:bCs/>
          <w:sz w:val="24"/>
          <w:szCs w:val="24"/>
        </w:rPr>
        <w:t xml:space="preserve"> (</w:t>
      </w:r>
      <w:r>
        <w:rPr>
          <w:rFonts w:ascii="Times New Roman" w:hAnsi="Times New Roman"/>
          <w:bCs/>
          <w:sz w:val="24"/>
          <w:szCs w:val="24"/>
        </w:rPr>
        <w:t>2018</w:t>
      </w:r>
      <w:r w:rsidR="005B1BFF" w:rsidRPr="00E77901">
        <w:rPr>
          <w:rFonts w:ascii="Times New Roman" w:hAnsi="Times New Roman"/>
          <w:bCs/>
          <w:sz w:val="24"/>
          <w:szCs w:val="24"/>
        </w:rPr>
        <w:t xml:space="preserve">). </w:t>
      </w:r>
      <w:r>
        <w:rPr>
          <w:rFonts w:ascii="Times New Roman" w:hAnsi="Times New Roman"/>
          <w:bCs/>
          <w:sz w:val="24"/>
          <w:szCs w:val="24"/>
        </w:rPr>
        <w:t>Patient medical examination</w:t>
      </w:r>
      <w:r w:rsidR="005B1BFF" w:rsidRPr="00E77901">
        <w:rPr>
          <w:rFonts w:ascii="Times New Roman" w:hAnsi="Times New Roman"/>
          <w:bCs/>
          <w:sz w:val="24"/>
          <w:szCs w:val="24"/>
        </w:rPr>
        <w:t xml:space="preserve">. </w:t>
      </w:r>
      <w:r w:rsidRPr="007E446F">
        <w:rPr>
          <w:rFonts w:ascii="Times New Roman" w:hAnsi="Times New Roman"/>
          <w:bCs/>
          <w:i/>
          <w:sz w:val="24"/>
          <w:szCs w:val="24"/>
        </w:rPr>
        <w:t>St. Vincent Medical Centre 2131 West Third Street Los Angeles, CA.</w:t>
      </w:r>
    </w:p>
    <w:p w:rsidR="00605B23" w:rsidRDefault="00605B23"/>
    <w:sectPr w:rsidR="00605B23" w:rsidSect="001346F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322" w:rsidRDefault="00E46322" w:rsidP="00A8534B">
      <w:pPr>
        <w:spacing w:after="0" w:line="240" w:lineRule="auto"/>
      </w:pPr>
      <w:r>
        <w:separator/>
      </w:r>
    </w:p>
  </w:endnote>
  <w:endnote w:type="continuationSeparator" w:id="0">
    <w:p w:rsidR="00E46322" w:rsidRDefault="00E46322" w:rsidP="00A85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039" w:rsidRDefault="000830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039" w:rsidRDefault="000830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039" w:rsidRDefault="000830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322" w:rsidRDefault="00E46322" w:rsidP="00A8534B">
      <w:pPr>
        <w:spacing w:after="0" w:line="240" w:lineRule="auto"/>
      </w:pPr>
      <w:r>
        <w:separator/>
      </w:r>
    </w:p>
  </w:footnote>
  <w:footnote w:type="continuationSeparator" w:id="0">
    <w:p w:rsidR="00E46322" w:rsidRDefault="00E46322" w:rsidP="00A853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039" w:rsidRDefault="000830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A8534B" w:rsidP="00C94AAE">
    <w:pPr>
      <w:pStyle w:val="Header"/>
      <w:spacing w:line="480" w:lineRule="auto"/>
      <w:rPr>
        <w:rFonts w:ascii="Times New Roman" w:hAnsi="Times New Roman"/>
        <w:sz w:val="24"/>
        <w:szCs w:val="24"/>
      </w:rPr>
    </w:pPr>
    <w:r w:rsidRPr="00A8534B">
      <w:rPr>
        <w:rFonts w:ascii="Times New Roman" w:hAnsi="Times New Roman"/>
        <w:sz w:val="24"/>
        <w:szCs w:val="24"/>
      </w:rPr>
      <w:t>CONCEPT</w:t>
    </w:r>
    <w:r>
      <w:rPr>
        <w:rFonts w:ascii="Times New Roman" w:hAnsi="Times New Roman"/>
        <w:sz w:val="24"/>
        <w:szCs w:val="24"/>
      </w:rPr>
      <w:t xml:space="preserve"> </w:t>
    </w:r>
    <w:r w:rsidRPr="00A8534B">
      <w:rPr>
        <w:rFonts w:ascii="Times New Roman" w:hAnsi="Times New Roman"/>
        <w:sz w:val="24"/>
        <w:szCs w:val="24"/>
      </w:rPr>
      <w:t>MAP 2</w:t>
    </w:r>
    <w:r w:rsidR="009B5A46">
      <w:rPr>
        <w:rFonts w:ascii="Times New Roman" w:hAnsi="Times New Roman"/>
        <w:sz w:val="24"/>
        <w:szCs w:val="24"/>
        <w:shd w:val="clear" w:color="auto" w:fill="FFFFFF"/>
        <w:lang w:val="en-US"/>
      </w:rPr>
      <w:tab/>
    </w:r>
    <w:r w:rsidR="009B5A46">
      <w:rPr>
        <w:rFonts w:ascii="Times New Roman" w:hAnsi="Times New Roman"/>
        <w:sz w:val="24"/>
        <w:szCs w:val="24"/>
        <w:shd w:val="clear" w:color="auto" w:fill="FFFFFF"/>
        <w:lang w:val="en-US"/>
      </w:rPr>
      <w:tab/>
    </w:r>
    <w:r w:rsidR="009B5A46" w:rsidRPr="00EA4FC6">
      <w:rPr>
        <w:rFonts w:ascii="Times New Roman" w:hAnsi="Times New Roman"/>
        <w:sz w:val="24"/>
        <w:szCs w:val="24"/>
      </w:rPr>
      <w:t xml:space="preserve">                                                                           </w:t>
    </w:r>
    <w:r w:rsidR="009B5A46" w:rsidRPr="00EA4FC6">
      <w:rPr>
        <w:rFonts w:ascii="Times New Roman" w:hAnsi="Times New Roman"/>
        <w:sz w:val="24"/>
        <w:szCs w:val="24"/>
      </w:rPr>
      <w:fldChar w:fldCharType="begin"/>
    </w:r>
    <w:r w:rsidR="009B5A46" w:rsidRPr="00EA4FC6">
      <w:rPr>
        <w:rFonts w:ascii="Times New Roman" w:hAnsi="Times New Roman"/>
        <w:sz w:val="24"/>
        <w:szCs w:val="24"/>
      </w:rPr>
      <w:instrText xml:space="preserve"> PAGE   \* MERGEFORMAT </w:instrText>
    </w:r>
    <w:r w:rsidR="009B5A46" w:rsidRPr="00EA4FC6">
      <w:rPr>
        <w:rFonts w:ascii="Times New Roman" w:hAnsi="Times New Roman"/>
        <w:sz w:val="24"/>
        <w:szCs w:val="24"/>
      </w:rPr>
      <w:fldChar w:fldCharType="separate"/>
    </w:r>
    <w:r w:rsidR="00083039">
      <w:rPr>
        <w:rFonts w:ascii="Times New Roman" w:hAnsi="Times New Roman"/>
        <w:noProof/>
        <w:sz w:val="24"/>
        <w:szCs w:val="24"/>
      </w:rPr>
      <w:t>3</w:t>
    </w:r>
    <w:r w:rsidR="009B5A46"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9B5A46" w:rsidP="00FA705F">
    <w:pPr>
      <w:pStyle w:val="Header"/>
      <w:spacing w:line="480" w:lineRule="auto"/>
      <w:rPr>
        <w:rFonts w:ascii="Times New Roman" w:hAnsi="Times New Roman"/>
        <w:sz w:val="24"/>
        <w:szCs w:val="24"/>
        <w:lang w:val="en-US"/>
      </w:rPr>
    </w:pPr>
    <w:r w:rsidRPr="00EA4FC6">
      <w:rPr>
        <w:rFonts w:ascii="Times New Roman" w:hAnsi="Times New Roman"/>
        <w:sz w:val="24"/>
        <w:szCs w:val="24"/>
      </w:rPr>
      <w:t xml:space="preserve">Running head: </w:t>
    </w:r>
    <w:r w:rsidR="00A8534B" w:rsidRPr="00A8534B">
      <w:rPr>
        <w:rFonts w:ascii="Times New Roman" w:hAnsi="Times New Roman"/>
        <w:sz w:val="24"/>
        <w:szCs w:val="24"/>
      </w:rPr>
      <w:t>CONCEPT</w:t>
    </w:r>
    <w:r w:rsidR="00A8534B">
      <w:rPr>
        <w:rFonts w:ascii="Times New Roman" w:hAnsi="Times New Roman"/>
        <w:sz w:val="24"/>
        <w:szCs w:val="24"/>
      </w:rPr>
      <w:t xml:space="preserve"> </w:t>
    </w:r>
    <w:r w:rsidR="00A8534B" w:rsidRPr="00A8534B">
      <w:rPr>
        <w:rFonts w:ascii="Times New Roman" w:hAnsi="Times New Roman"/>
        <w:sz w:val="24"/>
        <w:szCs w:val="24"/>
      </w:rPr>
      <w:t>MAP 2</w:t>
    </w:r>
    <w:r>
      <w:rPr>
        <w:rFonts w:ascii="Times New Roman" w:hAnsi="Times New Roman"/>
        <w:sz w:val="24"/>
        <w:szCs w:val="24"/>
        <w:shd w:val="clear" w:color="auto" w:fill="FFFFFF"/>
        <w:lang w:val="en-US"/>
      </w:rPr>
      <w:tab/>
    </w:r>
    <w:r>
      <w:rPr>
        <w:rFonts w:ascii="Times New Roman" w:hAnsi="Times New Roman"/>
        <w:sz w:val="24"/>
        <w:szCs w:val="24"/>
        <w:shd w:val="clear" w:color="auto" w:fill="FFFFFF"/>
        <w:lang w:val="en-US"/>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083039">
      <w:rPr>
        <w:rFonts w:ascii="Times New Roman" w:hAnsi="Times New Roman"/>
        <w:noProof/>
        <w:sz w:val="24"/>
        <w:szCs w:val="24"/>
      </w:rPr>
      <w:t>1</w:t>
    </w:r>
    <w:r w:rsidRPr="00EA4FC6">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B167A"/>
    <w:multiLevelType w:val="hybridMultilevel"/>
    <w:tmpl w:val="E41CB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DC61905"/>
    <w:multiLevelType w:val="hybridMultilevel"/>
    <w:tmpl w:val="DF3C88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E59"/>
    <w:rsid w:val="00051111"/>
    <w:rsid w:val="00083039"/>
    <w:rsid w:val="00095C1A"/>
    <w:rsid w:val="000A0AE8"/>
    <w:rsid w:val="002A7692"/>
    <w:rsid w:val="002C2815"/>
    <w:rsid w:val="003934BD"/>
    <w:rsid w:val="00583A72"/>
    <w:rsid w:val="005B1BFF"/>
    <w:rsid w:val="00605B23"/>
    <w:rsid w:val="00612E4D"/>
    <w:rsid w:val="00723FF6"/>
    <w:rsid w:val="007E446F"/>
    <w:rsid w:val="00806E59"/>
    <w:rsid w:val="009112FB"/>
    <w:rsid w:val="009B5A46"/>
    <w:rsid w:val="00A8534B"/>
    <w:rsid w:val="00BE00E0"/>
    <w:rsid w:val="00CF31B2"/>
    <w:rsid w:val="00E247CF"/>
    <w:rsid w:val="00E46322"/>
    <w:rsid w:val="00EC07A9"/>
    <w:rsid w:val="00F009EA"/>
    <w:rsid w:val="00F60E2C"/>
    <w:rsid w:val="00FB2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E59"/>
    <w:rPr>
      <w:rFonts w:ascii="Calibri" w:eastAsia="Calibri" w:hAnsi="Calibri" w:cs="Times New Roman"/>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E59"/>
    <w:rPr>
      <w:rFonts w:ascii="Calibri" w:eastAsia="Calibri" w:hAnsi="Calibri" w:cs="Times New Roman"/>
      <w:sz w:val="18"/>
      <w:szCs w:val="18"/>
    </w:rPr>
  </w:style>
  <w:style w:type="paragraph" w:styleId="Footer">
    <w:name w:val="footer"/>
    <w:basedOn w:val="Normal"/>
    <w:link w:val="FooterChar"/>
    <w:uiPriority w:val="99"/>
    <w:unhideWhenUsed/>
    <w:rsid w:val="00A85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4B"/>
    <w:rPr>
      <w:rFonts w:ascii="Calibri" w:eastAsia="Calibri" w:hAnsi="Calibri" w:cs="Times New Roman"/>
      <w:sz w:val="18"/>
      <w:szCs w:val="18"/>
      <w:lang w:val="en-GB"/>
    </w:rPr>
  </w:style>
  <w:style w:type="table" w:styleId="TableGrid">
    <w:name w:val="Table Grid"/>
    <w:basedOn w:val="TableNormal"/>
    <w:uiPriority w:val="59"/>
    <w:rsid w:val="00583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E59"/>
    <w:rPr>
      <w:rFonts w:ascii="Calibri" w:eastAsia="Calibri" w:hAnsi="Calibri" w:cs="Times New Roman"/>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E59"/>
    <w:rPr>
      <w:rFonts w:ascii="Calibri" w:eastAsia="Calibri" w:hAnsi="Calibri" w:cs="Times New Roman"/>
      <w:sz w:val="18"/>
      <w:szCs w:val="18"/>
    </w:rPr>
  </w:style>
  <w:style w:type="paragraph" w:styleId="Footer">
    <w:name w:val="footer"/>
    <w:basedOn w:val="Normal"/>
    <w:link w:val="FooterChar"/>
    <w:uiPriority w:val="99"/>
    <w:unhideWhenUsed/>
    <w:rsid w:val="00A85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4B"/>
    <w:rPr>
      <w:rFonts w:ascii="Calibri" w:eastAsia="Calibri" w:hAnsi="Calibri" w:cs="Times New Roman"/>
      <w:sz w:val="18"/>
      <w:szCs w:val="18"/>
      <w:lang w:val="en-GB"/>
    </w:rPr>
  </w:style>
  <w:style w:type="table" w:styleId="TableGrid">
    <w:name w:val="Table Grid"/>
    <w:basedOn w:val="TableNormal"/>
    <w:uiPriority w:val="59"/>
    <w:rsid w:val="00583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293575">
      <w:bodyDiv w:val="1"/>
      <w:marLeft w:val="0"/>
      <w:marRight w:val="0"/>
      <w:marTop w:val="0"/>
      <w:marBottom w:val="0"/>
      <w:divBdr>
        <w:top w:val="none" w:sz="0" w:space="0" w:color="auto"/>
        <w:left w:val="none" w:sz="0" w:space="0" w:color="auto"/>
        <w:bottom w:val="none" w:sz="0" w:space="0" w:color="auto"/>
        <w:right w:val="none" w:sz="0" w:space="0" w:color="auto"/>
      </w:divBdr>
    </w:div>
    <w:div w:id="166365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1604</Words>
  <Characters>9143</Characters>
  <Application>Microsoft Office Word</Application>
  <DocSecurity>0</DocSecurity>
  <Lines>76</Lines>
  <Paragraphs>21</Paragraphs>
  <ScaleCrop>false</ScaleCrop>
  <LinksUpToDate>false</LinksUpToDate>
  <CharactersWithSpaces>10726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2018-12-13T00:18:00Z</dcterms:created>
  <dcterms:modified xsi:type="dcterms:W3CDTF">2018-12-13T00:18:00Z</dcterms:modified>
</cp:coreProperties>
</file>